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F974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F974B5">
              <w:rPr>
                <w:rFonts w:ascii="Times New Roman" w:hAnsi="Times New Roman" w:cs="Times New Roman"/>
                <w:sz w:val="28"/>
                <w:szCs w:val="28"/>
              </w:rPr>
              <w:t>1 Правая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F974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2E44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974B5">
        <w:rPr>
          <w:rFonts w:ascii="Times New Roman" w:hAnsi="Times New Roman" w:cs="Times New Roman"/>
          <w:sz w:val="28"/>
          <w:szCs w:val="28"/>
        </w:rPr>
        <w:t>17.7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AA6A90">
        <w:rPr>
          <w:rFonts w:ascii="Times New Roman" w:hAnsi="Times New Roman" w:cs="Times New Roman"/>
          <w:sz w:val="28"/>
          <w:szCs w:val="28"/>
        </w:rPr>
        <w:t>3</w:t>
      </w:r>
      <w:r w:rsidR="00F974B5">
        <w:rPr>
          <w:rFonts w:ascii="Times New Roman" w:hAnsi="Times New Roman" w:cs="Times New Roman"/>
          <w:sz w:val="28"/>
          <w:szCs w:val="28"/>
        </w:rPr>
        <w:t>4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Правая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F9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AA6A90">
        <w:rPr>
          <w:rFonts w:ascii="Times New Roman" w:hAnsi="Times New Roman" w:cs="Times New Roman"/>
          <w:sz w:val="28"/>
          <w:szCs w:val="28"/>
        </w:rPr>
        <w:t>а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F974B5">
        <w:rPr>
          <w:rFonts w:ascii="Times New Roman" w:hAnsi="Times New Roman" w:cs="Times New Roman"/>
          <w:sz w:val="28"/>
          <w:szCs w:val="28"/>
        </w:rPr>
        <w:t>Кукало Любовь Владимировна</w:t>
      </w:r>
      <w:r w:rsidR="002E442D">
        <w:rPr>
          <w:rFonts w:ascii="Times New Roman" w:hAnsi="Times New Roman" w:cs="Times New Roman"/>
          <w:sz w:val="28"/>
          <w:szCs w:val="28"/>
        </w:rPr>
        <w:t>…...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42D" w:rsidRDefault="002E442D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42D" w:rsidRDefault="002E442D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42D" w:rsidRDefault="002E442D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AA6A90">
        <w:rPr>
          <w:rFonts w:ascii="Times New Roman" w:hAnsi="Times New Roman" w:cs="Times New Roman"/>
          <w:sz w:val="28"/>
          <w:szCs w:val="28"/>
        </w:rPr>
        <w:t>8</w:t>
      </w:r>
      <w:r w:rsidR="00F974B5">
        <w:rPr>
          <w:rFonts w:ascii="Times New Roman" w:hAnsi="Times New Roman" w:cs="Times New Roman"/>
          <w:sz w:val="28"/>
          <w:szCs w:val="28"/>
        </w:rPr>
        <w:t>6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CB3698" w:rsidRPr="00CB3698">
        <w:rPr>
          <w:rFonts w:ascii="Times New Roman" w:hAnsi="Times New Roman" w:cs="Times New Roman"/>
          <w:sz w:val="28"/>
          <w:szCs w:val="28"/>
        </w:rPr>
        <w:t>03.05.2023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F974B5">
        <w:rPr>
          <w:rFonts w:ascii="Times New Roman" w:hAnsi="Times New Roman" w:cs="Times New Roman"/>
          <w:sz w:val="28"/>
          <w:szCs w:val="28"/>
        </w:rPr>
        <w:t>Кукало Л.В.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CB3698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CB3698">
        <w:rPr>
          <w:rFonts w:ascii="Times New Roman" w:eastAsia="Times New Roman" w:hAnsi="Times New Roman"/>
          <w:sz w:val="24"/>
          <w:szCs w:val="24"/>
        </w:rPr>
        <w:t>03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AA6A90">
        <w:rPr>
          <w:rFonts w:ascii="Times New Roman" w:eastAsia="Times New Roman" w:hAnsi="Times New Roman"/>
          <w:sz w:val="24"/>
          <w:szCs w:val="24"/>
        </w:rPr>
        <w:t>8</w:t>
      </w:r>
      <w:r w:rsidR="00F974B5">
        <w:rPr>
          <w:rFonts w:ascii="Times New Roman" w:eastAsia="Times New Roman" w:hAnsi="Times New Roman"/>
          <w:sz w:val="24"/>
          <w:szCs w:val="24"/>
        </w:rPr>
        <w:t>6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B0766A">
        <w:rPr>
          <w:rFonts w:ascii="Times New Roman" w:eastAsia="Times New Roman" w:hAnsi="Times New Roman"/>
          <w:b/>
          <w:sz w:val="24"/>
          <w:szCs w:val="24"/>
          <w:u w:val="single"/>
        </w:rPr>
        <w:t>09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A6A90">
        <w:rPr>
          <w:rFonts w:ascii="Times New Roman" w:hAnsi="Times New Roman" w:cs="Times New Roman"/>
          <w:b/>
          <w:sz w:val="24"/>
          <w:szCs w:val="26"/>
          <w:u w:val="single"/>
        </w:rPr>
        <w:t>3</w:t>
      </w:r>
      <w:r w:rsidR="00F974B5">
        <w:rPr>
          <w:rFonts w:ascii="Times New Roman" w:hAnsi="Times New Roman" w:cs="Times New Roman"/>
          <w:b/>
          <w:sz w:val="24"/>
          <w:szCs w:val="26"/>
          <w:u w:val="single"/>
        </w:rPr>
        <w:t>4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97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 Правая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F97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35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E442D" w:rsidRDefault="002E44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AA6A90">
        <w:rPr>
          <w:rFonts w:ascii="Times New Roman" w:hAnsi="Times New Roman"/>
          <w:sz w:val="26"/>
          <w:szCs w:val="26"/>
        </w:rPr>
        <w:t>8</w:t>
      </w:r>
      <w:r w:rsidR="00F974B5">
        <w:rPr>
          <w:rFonts w:ascii="Times New Roman" w:hAnsi="Times New Roman"/>
          <w:sz w:val="26"/>
          <w:szCs w:val="26"/>
        </w:rPr>
        <w:t>6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B3698" w:rsidRPr="00CB3698">
        <w:rPr>
          <w:rFonts w:ascii="Times New Roman" w:hAnsi="Times New Roman"/>
          <w:sz w:val="26"/>
          <w:szCs w:val="26"/>
        </w:rPr>
        <w:t>03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F97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 Правая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97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35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AA6A90" w:rsidRPr="009930F4" w:rsidRDefault="00AA6A9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0364E4" w:rsidP="00794FD1">
      <w:pPr>
        <w:widowControl w:val="0"/>
        <w:autoSpaceDE w:val="0"/>
        <w:autoSpaceDN w:val="0"/>
        <w:spacing w:after="0" w:line="240" w:lineRule="auto"/>
      </w:pPr>
      <w:r w:rsidRPr="000364E4">
        <w:rPr>
          <w:noProof/>
          <w:lang w:eastAsia="ru-RU"/>
        </w:rPr>
        <w:drawing>
          <wp:inline distT="0" distB="0" distL="0" distR="0">
            <wp:extent cx="6031230" cy="2706514"/>
            <wp:effectExtent l="0" t="0" r="7620" b="0"/>
            <wp:docPr id="8" name="Рисунок 8" descr="C:\Users\kyat\Desktop\Фото гаражей\1 общ. гаражей ,ул  1 Правая , гараж 35 КУК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1 общ. гаражей ,ул  1 Правая , гараж 35 КУКАЛ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7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364E4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E442D"/>
    <w:rsid w:val="002F4613"/>
    <w:rsid w:val="002F60A9"/>
    <w:rsid w:val="00302D22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A6A90"/>
    <w:rsid w:val="00AB10A7"/>
    <w:rsid w:val="00AC5222"/>
    <w:rsid w:val="00AC6769"/>
    <w:rsid w:val="00AD34E3"/>
    <w:rsid w:val="00AE24F8"/>
    <w:rsid w:val="00B02C86"/>
    <w:rsid w:val="00B04290"/>
    <w:rsid w:val="00B0766A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974B5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D56A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232</cp:revision>
  <cp:lastPrinted>2023-05-11T02:53:00Z</cp:lastPrinted>
  <dcterms:created xsi:type="dcterms:W3CDTF">2019-12-09T06:28:00Z</dcterms:created>
  <dcterms:modified xsi:type="dcterms:W3CDTF">2023-05-11T04:17:00Z</dcterms:modified>
</cp:coreProperties>
</file>