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18E5" w:rsidRDefault="00C66FDE">
      <w:pPr>
        <w:spacing w:after="0" w:line="259" w:lineRule="auto"/>
        <w:ind w:left="0" w:firstLine="0"/>
        <w:jc w:val="right"/>
      </w:pPr>
      <w:r>
        <w:t xml:space="preserve"> </w:t>
      </w:r>
    </w:p>
    <w:p w:rsidR="008B285B" w:rsidRPr="008B285B" w:rsidRDefault="008B285B" w:rsidP="008B285B">
      <w:pPr>
        <w:spacing w:after="0" w:line="259" w:lineRule="auto"/>
        <w:ind w:left="0" w:right="5" w:firstLine="0"/>
        <w:jc w:val="center"/>
        <w:rPr>
          <w:b/>
        </w:rPr>
      </w:pPr>
      <w:r w:rsidRPr="008B285B">
        <w:rPr>
          <w:b/>
        </w:rPr>
        <w:t xml:space="preserve">муниципальное казенное учреждение </w:t>
      </w:r>
    </w:p>
    <w:p w:rsidR="008B285B" w:rsidRPr="008B285B" w:rsidRDefault="008B285B" w:rsidP="008B285B">
      <w:pPr>
        <w:spacing w:after="0" w:line="259" w:lineRule="auto"/>
        <w:ind w:left="0" w:right="5" w:firstLine="0"/>
        <w:jc w:val="center"/>
        <w:rPr>
          <w:b/>
        </w:rPr>
      </w:pPr>
      <w:r w:rsidRPr="008B285B">
        <w:rPr>
          <w:b/>
        </w:rPr>
        <w:t>«Контрольно-счетная палата</w:t>
      </w:r>
    </w:p>
    <w:p w:rsidR="008B285B" w:rsidRPr="008B285B" w:rsidRDefault="008B285B" w:rsidP="008B285B">
      <w:pPr>
        <w:spacing w:after="0" w:line="259" w:lineRule="auto"/>
        <w:ind w:left="0" w:right="5" w:firstLine="0"/>
        <w:jc w:val="center"/>
        <w:rPr>
          <w:b/>
        </w:rPr>
      </w:pPr>
      <w:r w:rsidRPr="008B285B">
        <w:rPr>
          <w:b/>
        </w:rPr>
        <w:t xml:space="preserve"> города Яровое Алтайского края»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12"/>
        <w:ind w:left="1752" w:hanging="10"/>
        <w:jc w:val="left"/>
      </w:pPr>
      <w:r>
        <w:rPr>
          <w:b/>
        </w:rPr>
        <w:t xml:space="preserve">СТАНДАРТ ВНЕШНЕГО </w:t>
      </w:r>
      <w:r w:rsidR="008B285B">
        <w:rPr>
          <w:b/>
        </w:rPr>
        <w:t>МУНИЦИПАЛЬНОГО</w:t>
      </w:r>
      <w:r>
        <w:rPr>
          <w:b/>
        </w:rPr>
        <w:t xml:space="preserve"> </w:t>
      </w:r>
    </w:p>
    <w:p w:rsidR="00C418E5" w:rsidRDefault="00C66FDE">
      <w:pPr>
        <w:pStyle w:val="2"/>
        <w:ind w:left="559" w:right="630"/>
      </w:pPr>
      <w:r>
        <w:t xml:space="preserve">ФИНАНСОВОГО КОНТРОЛЯ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 w:rsidP="005A7C68">
      <w:pPr>
        <w:spacing w:after="12"/>
        <w:ind w:left="3969" w:right="4027" w:firstLine="1062"/>
        <w:jc w:val="left"/>
      </w:pPr>
      <w:r>
        <w:rPr>
          <w:b/>
        </w:rPr>
        <w:t xml:space="preserve"> </w:t>
      </w:r>
      <w:r w:rsidR="005A7C68">
        <w:rPr>
          <w:b/>
        </w:rPr>
        <w:t>СВМ</w:t>
      </w:r>
      <w:r>
        <w:rPr>
          <w:b/>
        </w:rPr>
        <w:t xml:space="preserve">ФК 012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 w:rsidP="009C459B">
      <w:pPr>
        <w:spacing w:after="12"/>
        <w:ind w:left="1383" w:hanging="10"/>
        <w:jc w:val="center"/>
      </w:pPr>
      <w:r>
        <w:rPr>
          <w:b/>
        </w:rPr>
        <w:t>«ПОРЯДОК ПРОВЕДЕНИЯ ЭКСПЕРТИЗЫ ПРОЕКТОВ</w:t>
      </w:r>
    </w:p>
    <w:p w:rsidR="00C418E5" w:rsidRDefault="009C459B" w:rsidP="009C459B">
      <w:pPr>
        <w:spacing w:after="12"/>
        <w:ind w:left="1118" w:hanging="10"/>
        <w:jc w:val="center"/>
        <w:rPr>
          <w:b/>
        </w:rPr>
      </w:pPr>
      <w:r>
        <w:rPr>
          <w:b/>
        </w:rPr>
        <w:t>МУНИЦИПАЛЬНЫХ</w:t>
      </w:r>
      <w:r w:rsidR="00C66FDE">
        <w:rPr>
          <w:b/>
        </w:rPr>
        <w:t xml:space="preserve"> ПРОГРАММ»</w:t>
      </w:r>
    </w:p>
    <w:p w:rsidR="009C459B" w:rsidRDefault="009C459B" w:rsidP="009C459B">
      <w:pPr>
        <w:spacing w:after="12"/>
        <w:ind w:left="1118" w:hanging="10"/>
        <w:jc w:val="center"/>
      </w:pPr>
    </w:p>
    <w:p w:rsidR="009C459B" w:rsidRPr="009C459B" w:rsidRDefault="009C459B" w:rsidP="009C459B">
      <w:pPr>
        <w:spacing w:line="259" w:lineRule="auto"/>
        <w:ind w:left="10" w:right="69" w:hanging="10"/>
        <w:jc w:val="center"/>
      </w:pPr>
      <w:r w:rsidRPr="009C459B">
        <w:tab/>
        <w:t>(утвержден распоряжение председателя</w:t>
      </w:r>
    </w:p>
    <w:p w:rsidR="009C459B" w:rsidRPr="009C459B" w:rsidRDefault="009C459B" w:rsidP="009C459B">
      <w:pPr>
        <w:spacing w:line="259" w:lineRule="auto"/>
        <w:ind w:left="0" w:hanging="10"/>
        <w:jc w:val="center"/>
      </w:pPr>
      <w:r w:rsidRPr="009C459B">
        <w:t xml:space="preserve"> Контрольно-счетной палаты от </w:t>
      </w:r>
      <w:r>
        <w:t>30</w:t>
      </w:r>
      <w:r w:rsidRPr="009C459B">
        <w:t xml:space="preserve"> декабря 202</w:t>
      </w:r>
      <w:r>
        <w:t>1 года № 10</w:t>
      </w:r>
      <w:r w:rsidRPr="009C459B">
        <w:t>-0)</w:t>
      </w:r>
    </w:p>
    <w:p w:rsidR="009C459B" w:rsidRPr="009C459B" w:rsidRDefault="009C459B" w:rsidP="009C459B">
      <w:pPr>
        <w:tabs>
          <w:tab w:val="left" w:pos="2685"/>
        </w:tabs>
        <w:spacing w:after="165" w:line="259" w:lineRule="auto"/>
        <w:ind w:left="1" w:firstLine="0"/>
        <w:jc w:val="left"/>
      </w:pPr>
    </w:p>
    <w:p w:rsidR="00C418E5" w:rsidRDefault="00C66FDE">
      <w:pPr>
        <w:spacing w:after="0" w:line="259" w:lineRule="auto"/>
        <w:ind w:left="0" w:right="5" w:firstLine="0"/>
        <w:jc w:val="center"/>
      </w:pP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ind w:left="2554" w:right="62" w:firstLine="0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lastRenderedPageBreak/>
        <w:t xml:space="preserve"> </w:t>
      </w:r>
    </w:p>
    <w:p w:rsidR="00C418E5" w:rsidRDefault="00C66FDE">
      <w:pPr>
        <w:spacing w:after="0" w:line="259" w:lineRule="auto"/>
        <w:ind w:left="0" w:right="5" w:firstLine="0"/>
        <w:jc w:val="center"/>
      </w:pPr>
      <w:r>
        <w:t xml:space="preserve"> </w:t>
      </w:r>
    </w:p>
    <w:p w:rsidR="00C418E5" w:rsidRDefault="00630038">
      <w:pPr>
        <w:spacing w:after="0" w:line="259" w:lineRule="auto"/>
        <w:ind w:left="10" w:right="79" w:hanging="10"/>
        <w:jc w:val="center"/>
      </w:pPr>
      <w:r>
        <w:t xml:space="preserve">Яровое </w:t>
      </w:r>
    </w:p>
    <w:p w:rsidR="00C418E5" w:rsidRDefault="00C66FDE">
      <w:pPr>
        <w:spacing w:after="0" w:line="259" w:lineRule="auto"/>
        <w:ind w:left="10" w:right="77" w:hanging="10"/>
        <w:jc w:val="center"/>
      </w:pPr>
      <w:r>
        <w:t>20</w:t>
      </w:r>
      <w:r w:rsidR="00630038">
        <w:t>21</w:t>
      </w:r>
      <w:r>
        <w:t xml:space="preserve"> год </w:t>
      </w:r>
    </w:p>
    <w:p w:rsidR="00C418E5" w:rsidRDefault="00C66FDE">
      <w:pPr>
        <w:spacing w:after="0" w:line="259" w:lineRule="auto"/>
        <w:ind w:left="619" w:firstLine="0"/>
        <w:jc w:val="center"/>
      </w:pPr>
      <w:r>
        <w:t xml:space="preserve"> </w:t>
      </w:r>
    </w:p>
    <w:p w:rsidR="00C418E5" w:rsidRDefault="00C66FDE">
      <w:pPr>
        <w:spacing w:after="14" w:line="259" w:lineRule="auto"/>
        <w:ind w:left="624" w:firstLine="0"/>
        <w:jc w:val="left"/>
      </w:pPr>
      <w:r>
        <w:t xml:space="preserve"> </w:t>
      </w:r>
    </w:p>
    <w:p w:rsidR="00C418E5" w:rsidRDefault="00C66FDE">
      <w:pPr>
        <w:spacing w:after="0" w:line="259" w:lineRule="auto"/>
        <w:ind w:left="624" w:firstLine="0"/>
        <w:jc w:val="left"/>
      </w:pPr>
      <w:r>
        <w:t xml:space="preserve"> </w:t>
      </w:r>
      <w:r>
        <w:tab/>
      </w:r>
      <w:r>
        <w:rPr>
          <w:b/>
        </w:rPr>
        <w:t xml:space="preserve"> </w:t>
      </w:r>
    </w:p>
    <w:p w:rsidR="00C418E5" w:rsidRDefault="00C66FDE">
      <w:pPr>
        <w:spacing w:after="0" w:line="259" w:lineRule="auto"/>
        <w:ind w:left="624" w:firstLine="0"/>
        <w:jc w:val="left"/>
      </w:pPr>
      <w:r>
        <w:rPr>
          <w:b/>
        </w:rPr>
        <w:t xml:space="preserve"> </w:t>
      </w:r>
    </w:p>
    <w:p w:rsidR="00C418E5" w:rsidRDefault="00C66FDE">
      <w:pPr>
        <w:pStyle w:val="2"/>
        <w:ind w:left="559"/>
      </w:pPr>
      <w:r>
        <w:t xml:space="preserve">Оглавление </w:t>
      </w:r>
    </w:p>
    <w:p w:rsidR="00C418E5" w:rsidRDefault="00C66FDE">
      <w:pPr>
        <w:spacing w:after="208" w:line="259" w:lineRule="auto"/>
        <w:ind w:left="624" w:firstLine="0"/>
        <w:jc w:val="left"/>
      </w:pPr>
      <w:r>
        <w:rPr>
          <w:b/>
        </w:rPr>
        <w:t xml:space="preserve"> </w:t>
      </w:r>
    </w:p>
    <w:sdt>
      <w:sdtPr>
        <w:id w:val="-1430197819"/>
        <w:docPartObj>
          <w:docPartGallery w:val="Table of Contents"/>
        </w:docPartObj>
      </w:sdtPr>
      <w:sdtEndPr/>
      <w:sdtContent>
        <w:p w:rsidR="00C418E5" w:rsidRDefault="00C66FDE">
          <w:pPr>
            <w:pStyle w:val="11"/>
            <w:tabs>
              <w:tab w:val="right" w:leader="dot" w:pos="10135"/>
            </w:tabs>
          </w:pPr>
          <w:r>
            <w:fldChar w:fldCharType="begin"/>
          </w:r>
          <w:r>
            <w:instrText xml:space="preserve"> TOC \o "1-1" \h \z \u </w:instrText>
          </w:r>
          <w:r>
            <w:fldChar w:fldCharType="separate"/>
          </w:r>
          <w:hyperlink w:anchor="_Toc8998">
            <w:r>
              <w:t>1. Общие положения</w:t>
            </w:r>
            <w:r>
              <w:tab/>
            </w:r>
            <w:r>
              <w:fldChar w:fldCharType="begin"/>
            </w:r>
            <w:r>
              <w:instrText>PAGEREF _Toc8998 \h</w:instrText>
            </w:r>
            <w:r>
              <w:fldChar w:fldCharType="separate"/>
            </w:r>
            <w:r w:rsidR="005A7C68">
              <w:rPr>
                <w:noProof/>
              </w:rPr>
              <w:t>3</w:t>
            </w:r>
            <w:r>
              <w:fldChar w:fldCharType="end"/>
            </w:r>
          </w:hyperlink>
        </w:p>
        <w:p w:rsidR="00C418E5" w:rsidRDefault="009F718E">
          <w:pPr>
            <w:pStyle w:val="11"/>
            <w:tabs>
              <w:tab w:val="right" w:leader="dot" w:pos="10135"/>
            </w:tabs>
          </w:pPr>
          <w:hyperlink w:anchor="_Toc8999">
            <w:r w:rsidR="00C66FDE">
              <w:t xml:space="preserve">2. Порядок проведения экспертизы проектов </w:t>
            </w:r>
            <w:r w:rsidR="00630038">
              <w:t>муниципальных</w:t>
            </w:r>
            <w:r w:rsidR="00C66FDE">
              <w:t xml:space="preserve"> программ</w:t>
            </w:r>
            <w:r w:rsidR="00C66FDE">
              <w:tab/>
            </w:r>
            <w:r w:rsidR="00C66FDE">
              <w:fldChar w:fldCharType="begin"/>
            </w:r>
            <w:r w:rsidR="00C66FDE">
              <w:instrText>PAGEREF _Toc8999 \h</w:instrText>
            </w:r>
            <w:r w:rsidR="00C66FDE">
              <w:fldChar w:fldCharType="separate"/>
            </w:r>
            <w:r w:rsidR="005A7C68">
              <w:rPr>
                <w:noProof/>
              </w:rPr>
              <w:t>4</w:t>
            </w:r>
            <w:r w:rsidR="00C66FDE">
              <w:fldChar w:fldCharType="end"/>
            </w:r>
          </w:hyperlink>
        </w:p>
        <w:p w:rsidR="00C418E5" w:rsidRDefault="009F718E">
          <w:pPr>
            <w:pStyle w:val="11"/>
            <w:tabs>
              <w:tab w:val="right" w:leader="dot" w:pos="10135"/>
            </w:tabs>
          </w:pPr>
          <w:hyperlink w:anchor="_Toc9000">
            <w:r w:rsidR="00C66FDE">
              <w:t>3. Особенности проведения экспертизы проектов о внесении изменений в             государственные программы</w:t>
            </w:r>
            <w:r w:rsidR="00C66FDE">
              <w:tab/>
            </w:r>
            <w:r w:rsidR="00C66FDE">
              <w:fldChar w:fldCharType="begin"/>
            </w:r>
            <w:r w:rsidR="00C66FDE">
              <w:instrText>PAGEREF _Toc9000 \h</w:instrText>
            </w:r>
            <w:r w:rsidR="00C66FDE">
              <w:fldChar w:fldCharType="separate"/>
            </w:r>
            <w:r w:rsidR="005A7C68">
              <w:rPr>
                <w:noProof/>
              </w:rPr>
              <w:t>7</w:t>
            </w:r>
            <w:r w:rsidR="00C66FDE">
              <w:fldChar w:fldCharType="end"/>
            </w:r>
          </w:hyperlink>
        </w:p>
        <w:p w:rsidR="00C418E5" w:rsidRDefault="009F718E">
          <w:pPr>
            <w:pStyle w:val="11"/>
            <w:tabs>
              <w:tab w:val="right" w:leader="dot" w:pos="10135"/>
            </w:tabs>
          </w:pPr>
          <w:hyperlink w:anchor="_Toc9001">
            <w:r w:rsidR="00C66FDE">
              <w:t>4. Требования к оформлению результатов экспертизы</w:t>
            </w:r>
            <w:r w:rsidR="00C66FDE">
              <w:tab/>
            </w:r>
            <w:r w:rsidR="00C66FDE">
              <w:fldChar w:fldCharType="begin"/>
            </w:r>
            <w:r w:rsidR="00C66FDE">
              <w:instrText>PAGEREF _Toc9001 \h</w:instrText>
            </w:r>
            <w:r w:rsidR="00C66FDE">
              <w:fldChar w:fldCharType="separate"/>
            </w:r>
            <w:r w:rsidR="005A7C68">
              <w:rPr>
                <w:noProof/>
              </w:rPr>
              <w:t>8</w:t>
            </w:r>
            <w:r w:rsidR="00C66FDE">
              <w:fldChar w:fldCharType="end"/>
            </w:r>
          </w:hyperlink>
        </w:p>
        <w:p w:rsidR="00C418E5" w:rsidRDefault="00C66FDE">
          <w:r>
            <w:fldChar w:fldCharType="end"/>
          </w:r>
        </w:p>
      </w:sdtContent>
    </w:sdt>
    <w:p w:rsidR="00C418E5" w:rsidRDefault="00C66FDE">
      <w:pPr>
        <w:spacing w:after="0" w:line="259" w:lineRule="auto"/>
        <w:ind w:left="624" w:firstLine="0"/>
        <w:jc w:val="left"/>
      </w:pPr>
      <w:r>
        <w:t xml:space="preserve"> </w:t>
      </w:r>
      <w:r>
        <w:tab/>
        <w:t xml:space="preserve"> </w:t>
      </w:r>
      <w:r>
        <w:br w:type="page"/>
      </w:r>
    </w:p>
    <w:p w:rsidR="00C418E5" w:rsidRDefault="00C66FDE">
      <w:pPr>
        <w:pStyle w:val="1"/>
        <w:ind w:left="832" w:right="626" w:hanging="283"/>
      </w:pPr>
      <w:bookmarkStart w:id="0" w:name="_Toc8998"/>
      <w:r>
        <w:lastRenderedPageBreak/>
        <w:t xml:space="preserve">Общие положения </w:t>
      </w:r>
      <w:bookmarkEnd w:id="0"/>
    </w:p>
    <w:p w:rsidR="00C418E5" w:rsidRDefault="00C66FDE">
      <w:pPr>
        <w:spacing w:after="0" w:line="259" w:lineRule="auto"/>
        <w:ind w:left="624" w:firstLine="0"/>
        <w:jc w:val="left"/>
      </w:pPr>
      <w:r>
        <w:rPr>
          <w:b/>
        </w:rPr>
        <w:t xml:space="preserve"> </w:t>
      </w:r>
    </w:p>
    <w:p w:rsidR="00C418E5" w:rsidRDefault="00C66FDE">
      <w:pPr>
        <w:ind w:left="-15" w:right="62"/>
      </w:pPr>
      <w:r>
        <w:t>1.1.</w:t>
      </w:r>
      <w:r>
        <w:rPr>
          <w:rFonts w:ascii="Arial" w:eastAsia="Arial" w:hAnsi="Arial" w:cs="Arial"/>
        </w:rPr>
        <w:t xml:space="preserve"> </w:t>
      </w:r>
      <w:r>
        <w:t xml:space="preserve">Стандарт внешнего </w:t>
      </w:r>
      <w:r w:rsidR="00B217C7">
        <w:t xml:space="preserve">муниципального </w:t>
      </w:r>
      <w:r>
        <w:t xml:space="preserve"> финансового контроля «Порядок проведения экспертизы проектов </w:t>
      </w:r>
      <w:r w:rsidR="00B217C7">
        <w:t>муниципальных</w:t>
      </w:r>
      <w:r>
        <w:t xml:space="preserve"> программ» (далее – СВ</w:t>
      </w:r>
      <w:r w:rsidR="00B217C7">
        <w:t>М</w:t>
      </w:r>
      <w:r>
        <w:t xml:space="preserve">ФК) разработан в соответствии с Бюджетным кодексом Российской Федерации, Федеральным законом от 07.02.2011 №6-ФЗ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217C7">
        <w:t>Положением Контрольно-счетной палаты</w:t>
      </w:r>
      <w:r>
        <w:t xml:space="preserve">, Регламентом </w:t>
      </w:r>
      <w:r w:rsidR="00B217C7">
        <w:t>Контрольно-счетной палаты</w:t>
      </w:r>
      <w:r>
        <w:t xml:space="preserve">, с учетом положений нормативных правовых актов </w:t>
      </w:r>
      <w:r w:rsidR="00B217C7">
        <w:t xml:space="preserve"> </w:t>
      </w:r>
      <w:r>
        <w:t xml:space="preserve">Алтайского края, определяющих порядок разработки, реализации и оценки эффективности </w:t>
      </w:r>
      <w:r w:rsidR="00B217C7">
        <w:t>муниципальных</w:t>
      </w:r>
      <w:r>
        <w:t xml:space="preserve"> программ Алтайского края, а также локальных нормативных правовых актов </w:t>
      </w:r>
      <w:r w:rsidR="00B217C7">
        <w:t xml:space="preserve"> </w:t>
      </w:r>
      <w:r w:rsidR="00B217C7" w:rsidRPr="00B217C7">
        <w:t>муниципального казённого учреждения «Контрольно-счетная палата города Яровое Алтайского края» (далее – «Контрольно-счетная палата»)</w:t>
      </w:r>
      <w:r>
        <w:t xml:space="preserve">.  </w:t>
      </w:r>
    </w:p>
    <w:p w:rsidR="00C418E5" w:rsidRDefault="00C66FDE">
      <w:pPr>
        <w:ind w:left="-15" w:right="62"/>
      </w:pPr>
      <w:r>
        <w:t>1.2.</w:t>
      </w:r>
      <w:r w:rsidRPr="00133B25">
        <w:t xml:space="preserve"> </w:t>
      </w:r>
      <w:r>
        <w:t>СВ</w:t>
      </w:r>
      <w:r w:rsidR="00B217C7">
        <w:t>М</w:t>
      </w:r>
      <w:r>
        <w:t xml:space="preserve">ФК определяет общие требования и принципы проведения </w:t>
      </w:r>
      <w:r w:rsidR="00183B13">
        <w:t>Контрольно-с</w:t>
      </w:r>
      <w:r>
        <w:t xml:space="preserve">четной палатой экспертизы проектов </w:t>
      </w:r>
      <w:r w:rsidR="00183B13">
        <w:t>муниципальных</w:t>
      </w:r>
      <w:r>
        <w:t xml:space="preserve"> программ </w:t>
      </w:r>
      <w:r w:rsidR="00183B13">
        <w:t xml:space="preserve">муниципального образования г. Яровое </w:t>
      </w:r>
      <w:r>
        <w:t xml:space="preserve">Алтайского края, а также проектов о внесении изменений в </w:t>
      </w:r>
      <w:r w:rsidR="00183B13">
        <w:t>муниципальные программы</w:t>
      </w:r>
      <w:r>
        <w:t xml:space="preserve"> (далее – проект программы) в пределах полномочий и задач, возложенных на </w:t>
      </w:r>
      <w:r w:rsidR="00183B13">
        <w:t>Контрольно-с</w:t>
      </w:r>
      <w:r>
        <w:t xml:space="preserve">четную палату. </w:t>
      </w:r>
    </w:p>
    <w:p w:rsidR="00C418E5" w:rsidRDefault="00C66FDE">
      <w:pPr>
        <w:ind w:left="624" w:right="62" w:firstLine="0"/>
      </w:pPr>
      <w:r>
        <w:t>1.3.</w:t>
      </w:r>
      <w:r w:rsidRPr="00133B25">
        <w:t xml:space="preserve"> </w:t>
      </w:r>
      <w:r>
        <w:t>Задачами СВ</w:t>
      </w:r>
      <w:r w:rsidR="00183B13">
        <w:t>М</w:t>
      </w:r>
      <w:r>
        <w:t xml:space="preserve">ФК являются:  </w:t>
      </w:r>
    </w:p>
    <w:p w:rsidR="00C418E5" w:rsidRDefault="00C66FDE">
      <w:pPr>
        <w:numPr>
          <w:ilvl w:val="0"/>
          <w:numId w:val="1"/>
        </w:numPr>
        <w:ind w:right="62"/>
      </w:pPr>
      <w:r>
        <w:t xml:space="preserve">определение этапов проведения финансово-экономической экспертизы проекта программы;  </w:t>
      </w:r>
    </w:p>
    <w:p w:rsidR="00C418E5" w:rsidRDefault="00C66FDE">
      <w:pPr>
        <w:numPr>
          <w:ilvl w:val="0"/>
          <w:numId w:val="1"/>
        </w:numPr>
        <w:ind w:right="62"/>
      </w:pPr>
      <w:r>
        <w:t xml:space="preserve">установление требований к организации, проведению и оформлению результатов финансово-экономической экспертизы проекта программы. </w:t>
      </w:r>
    </w:p>
    <w:p w:rsidR="00C418E5" w:rsidRDefault="00C66FDE" w:rsidP="00133B25">
      <w:pPr>
        <w:numPr>
          <w:ilvl w:val="1"/>
          <w:numId w:val="2"/>
        </w:numPr>
        <w:ind w:left="0" w:right="62"/>
      </w:pPr>
      <w:r>
        <w:t>СВ</w:t>
      </w:r>
      <w:r w:rsidR="00183B13">
        <w:t>М</w:t>
      </w:r>
      <w:r>
        <w:t xml:space="preserve">ФК является обязательным к применению инспекторами </w:t>
      </w:r>
      <w:r w:rsidR="00183B13">
        <w:t>Контрольно-с</w:t>
      </w:r>
      <w:r>
        <w:t xml:space="preserve">четной палаты и привлеченными экспертами, участвующими в проведении экспертизы проектов программ. </w:t>
      </w:r>
    </w:p>
    <w:p w:rsidR="00E12FF3" w:rsidRPr="00E12FF3" w:rsidRDefault="00C66FDE" w:rsidP="00133B25">
      <w:pPr>
        <w:numPr>
          <w:ilvl w:val="1"/>
          <w:numId w:val="2"/>
        </w:numPr>
        <w:ind w:left="0" w:right="62"/>
      </w:pPr>
      <w:r>
        <w:t xml:space="preserve">Целью экспертизы проекта программы является выявление или подтверждение отсутствия нарушений и недостатков проекта программы, создающих условия неправомерного и (или) неэффективного использования средств краевого </w:t>
      </w:r>
      <w:r w:rsidR="00E12FF3">
        <w:t xml:space="preserve">и местного </w:t>
      </w:r>
      <w:r>
        <w:t xml:space="preserve">бюджета, невыполнения (неполного выполнения) задач и функций органов </w:t>
      </w:r>
      <w:r w:rsidR="00E12FF3" w:rsidRPr="00E12FF3">
        <w:t>местной администраци</w:t>
      </w:r>
      <w:r w:rsidR="006932EE">
        <w:t>и</w:t>
      </w:r>
      <w:r w:rsidR="00E12FF3" w:rsidRPr="00E12FF3">
        <w:t xml:space="preserve"> муниципального образования</w:t>
      </w:r>
      <w:r w:rsidR="00A37122">
        <w:t>.</w:t>
      </w:r>
    </w:p>
    <w:p w:rsidR="00C418E5" w:rsidRDefault="00C66FDE">
      <w:pPr>
        <w:ind w:left="-15" w:right="62"/>
      </w:pPr>
      <w:r>
        <w:t xml:space="preserve">Экспертиза проекта программы включает содержательное рассмотрение и оценку его соответствия основным направлениям государственной политики, установленным законами и иными нормативными правовыми актами Российской Федерации и Алтайского края в соответствующей сфере обеспечения жизнедеятельности региона.  </w:t>
      </w:r>
    </w:p>
    <w:p w:rsidR="00C418E5" w:rsidRDefault="00C66FDE">
      <w:pPr>
        <w:ind w:left="-15" w:right="62"/>
      </w:pPr>
      <w:r>
        <w:t xml:space="preserve">Экспертиза проекта программы не предполагает оценку общего социального, экономического эффекта от реализации программы, определение масштаба и динамики негативных и позитивных социальных воздействий при принятии или непринятии программы.  </w:t>
      </w:r>
    </w:p>
    <w:p w:rsidR="00C418E5" w:rsidRDefault="00C66FDE">
      <w:pPr>
        <w:ind w:left="-15" w:right="62"/>
      </w:pPr>
      <w:r>
        <w:lastRenderedPageBreak/>
        <w:t xml:space="preserve">Заключение </w:t>
      </w:r>
      <w:r w:rsidR="00E12FF3">
        <w:t>Контрольно-с</w:t>
      </w:r>
      <w:r>
        <w:t xml:space="preserve">четной палаты по результатам экспертизы не должно содержать политических оценок и рекомендаций об утверждении или отклонении представленного проекта программы. </w:t>
      </w:r>
    </w:p>
    <w:p w:rsidR="00C418E5" w:rsidRDefault="00C66FDE" w:rsidP="00133B25">
      <w:pPr>
        <w:numPr>
          <w:ilvl w:val="1"/>
          <w:numId w:val="2"/>
        </w:numPr>
        <w:ind w:left="0" w:right="62" w:firstLine="567"/>
      </w:pPr>
      <w:r>
        <w:t xml:space="preserve">Основными задачами экспертизы проекта программы является оценка: </w:t>
      </w:r>
    </w:p>
    <w:p w:rsidR="00C418E5" w:rsidRDefault="00C66FDE" w:rsidP="00133B25">
      <w:pPr>
        <w:numPr>
          <w:ilvl w:val="0"/>
          <w:numId w:val="1"/>
        </w:numPr>
        <w:ind w:right="62" w:firstLine="567"/>
      </w:pPr>
      <w:r>
        <w:t xml:space="preserve">соответствия положений проекта программы нормам законов и иных нормативных правовых актов; </w:t>
      </w:r>
    </w:p>
    <w:p w:rsidR="00C418E5" w:rsidRDefault="00C66FDE" w:rsidP="00133B25">
      <w:pPr>
        <w:numPr>
          <w:ilvl w:val="0"/>
          <w:numId w:val="1"/>
        </w:numPr>
        <w:spacing w:after="26"/>
        <w:ind w:right="62" w:firstLine="567"/>
      </w:pPr>
      <w:r>
        <w:t xml:space="preserve">полноты анализа предметной ситуации и ее факторов; </w:t>
      </w:r>
    </w:p>
    <w:p w:rsidR="00C418E5" w:rsidRDefault="00C66FDE" w:rsidP="00133B25">
      <w:pPr>
        <w:numPr>
          <w:ilvl w:val="0"/>
          <w:numId w:val="1"/>
        </w:numPr>
        <w:spacing w:after="26"/>
        <w:ind w:right="62" w:firstLine="567"/>
      </w:pPr>
      <w:r>
        <w:t xml:space="preserve">корректности определения конечных результатов программы; </w:t>
      </w:r>
    </w:p>
    <w:p w:rsidR="00C418E5" w:rsidRDefault="00C66FDE" w:rsidP="00133B25">
      <w:pPr>
        <w:numPr>
          <w:ilvl w:val="0"/>
          <w:numId w:val="1"/>
        </w:numPr>
        <w:ind w:right="62" w:firstLine="567"/>
      </w:pPr>
      <w:r>
        <w:t xml:space="preserve">целостности и связанности задач программы и мер по их выполнению; </w:t>
      </w:r>
    </w:p>
    <w:p w:rsidR="00C418E5" w:rsidRDefault="00C66FDE" w:rsidP="00133B25">
      <w:pPr>
        <w:numPr>
          <w:ilvl w:val="0"/>
          <w:numId w:val="1"/>
        </w:numPr>
        <w:ind w:right="62" w:firstLine="567"/>
      </w:pPr>
      <w:r>
        <w:t>обоснованности заявленной потребности программы в ресурсах, полноты использования возможностей привлечения средств иных бюджетов бюджетной системы Российской Федерации, помимо краевог</w:t>
      </w:r>
      <w:r w:rsidR="00E12FF3">
        <w:t xml:space="preserve">о, местного </w:t>
      </w:r>
      <w:r>
        <w:t>бюджет</w:t>
      </w:r>
      <w:r w:rsidR="00E12FF3">
        <w:t>ов</w:t>
      </w:r>
      <w:r>
        <w:t xml:space="preserve">, а также средств внебюджетных источников для реализации программы. </w:t>
      </w:r>
    </w:p>
    <w:p w:rsidR="00C418E5" w:rsidRDefault="00C66FDE">
      <w:pPr>
        <w:ind w:left="-15" w:right="62"/>
      </w:pPr>
      <w:r>
        <w:t>1.7.</w:t>
      </w:r>
      <w:r w:rsidRPr="00133B25">
        <w:t xml:space="preserve"> </w:t>
      </w:r>
      <w:r>
        <w:t xml:space="preserve">При проведении экспертизы проектов программ </w:t>
      </w:r>
      <w:r w:rsidR="00E12FF3">
        <w:t>Контрольно-с</w:t>
      </w:r>
      <w:r>
        <w:t xml:space="preserve">четная палата в рамках своей компетенции вправе оценивать наличие в них </w:t>
      </w:r>
      <w:proofErr w:type="spellStart"/>
      <w:r>
        <w:t>коррупциогенных</w:t>
      </w:r>
      <w:proofErr w:type="spellEnd"/>
      <w:r>
        <w:t xml:space="preserve"> факторов. </w:t>
      </w:r>
    </w:p>
    <w:p w:rsidR="00C418E5" w:rsidRDefault="00C66FDE">
      <w:pPr>
        <w:spacing w:after="0" w:line="259" w:lineRule="auto"/>
        <w:ind w:left="624" w:firstLine="0"/>
        <w:jc w:val="left"/>
      </w:pPr>
      <w:r>
        <w:t xml:space="preserve"> </w:t>
      </w:r>
    </w:p>
    <w:p w:rsidR="00C418E5" w:rsidRDefault="00C66FDE">
      <w:pPr>
        <w:pStyle w:val="1"/>
        <w:ind w:left="2215" w:right="2209"/>
      </w:pPr>
      <w:bookmarkStart w:id="1" w:name="_Toc8999"/>
      <w:r>
        <w:t xml:space="preserve">Порядок проведения экспертизы проектов </w:t>
      </w:r>
      <w:r w:rsidR="00AB7820">
        <w:t>муниципальных</w:t>
      </w:r>
      <w:r>
        <w:t xml:space="preserve"> программ </w:t>
      </w:r>
      <w:bookmarkEnd w:id="1"/>
    </w:p>
    <w:p w:rsidR="00C418E5" w:rsidRDefault="00C66FDE">
      <w:pPr>
        <w:spacing w:after="0" w:line="259" w:lineRule="auto"/>
        <w:ind w:left="624" w:firstLine="0"/>
        <w:jc w:val="left"/>
      </w:pPr>
      <w:r>
        <w:rPr>
          <w:b/>
        </w:rPr>
        <w:t xml:space="preserve"> </w:t>
      </w:r>
    </w:p>
    <w:p w:rsidR="00C418E5" w:rsidRDefault="00C66FDE">
      <w:pPr>
        <w:ind w:left="-15" w:right="62"/>
      </w:pPr>
      <w:r>
        <w:t>2.1.</w:t>
      </w:r>
      <w:r>
        <w:rPr>
          <w:rFonts w:ascii="Arial" w:eastAsia="Arial" w:hAnsi="Arial" w:cs="Arial"/>
        </w:rPr>
        <w:t xml:space="preserve"> </w:t>
      </w:r>
      <w:r>
        <w:t xml:space="preserve"> Основанием для проведения экспертизы проекта программы является письменное обращение ответственного исполнителя программы, направленное в </w:t>
      </w:r>
      <w:r w:rsidR="00AB7820">
        <w:t>Контрольно-с</w:t>
      </w:r>
      <w:r>
        <w:t xml:space="preserve">четную палату. </w:t>
      </w:r>
    </w:p>
    <w:p w:rsidR="00C418E5" w:rsidRDefault="00C66FDE">
      <w:pPr>
        <w:ind w:left="-15" w:right="62"/>
      </w:pPr>
      <w:r>
        <w:t>2.2.</w:t>
      </w:r>
      <w:r>
        <w:rPr>
          <w:rFonts w:ascii="Arial" w:eastAsia="Arial" w:hAnsi="Arial" w:cs="Arial"/>
        </w:rPr>
        <w:t xml:space="preserve"> </w:t>
      </w:r>
      <w:r>
        <w:t xml:space="preserve">Представленный на экспертизу в </w:t>
      </w:r>
      <w:r w:rsidR="00AB7820">
        <w:t>Контрольно-с</w:t>
      </w:r>
      <w:r>
        <w:t xml:space="preserve">четную палату проект программы принимается и регистрируется при наличии к нему следующих документов: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пояснительная записка разработчика проекта;  </w:t>
      </w:r>
    </w:p>
    <w:p w:rsidR="00AB7820" w:rsidRDefault="00C66FDE">
      <w:pPr>
        <w:numPr>
          <w:ilvl w:val="0"/>
          <w:numId w:val="3"/>
        </w:numPr>
        <w:ind w:right="62"/>
      </w:pPr>
      <w:r>
        <w:t xml:space="preserve">замечания и предложения, поступившие в процессе согласования;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 лист согласования установленной формы. </w:t>
      </w:r>
    </w:p>
    <w:p w:rsidR="00C418E5" w:rsidRDefault="00C66FDE" w:rsidP="00AB7820">
      <w:pPr>
        <w:numPr>
          <w:ilvl w:val="1"/>
          <w:numId w:val="4"/>
        </w:numPr>
        <w:ind w:left="0" w:right="62" w:firstLine="709"/>
      </w:pPr>
      <w:r>
        <w:t xml:space="preserve">Экспертиза проекта программы осуществляется по поручению председателя </w:t>
      </w:r>
      <w:r w:rsidR="00407FB2">
        <w:t>Контрольно-с</w:t>
      </w:r>
      <w:r>
        <w:t xml:space="preserve">четной палаты, а в случае его отсутствия – </w:t>
      </w:r>
      <w:r w:rsidR="00407FB2">
        <w:t>инспектора Контрольно-с</w:t>
      </w:r>
      <w:r>
        <w:t xml:space="preserve">четной палаты, (далее - руководителями экспертизы). </w:t>
      </w:r>
    </w:p>
    <w:p w:rsidR="00C418E5" w:rsidRDefault="00C66FDE" w:rsidP="00AB7820">
      <w:pPr>
        <w:numPr>
          <w:ilvl w:val="1"/>
          <w:numId w:val="4"/>
        </w:numPr>
        <w:ind w:left="0" w:right="62" w:firstLine="709"/>
      </w:pPr>
      <w:r>
        <w:t xml:space="preserve">Объем экспертизы проекта программы определяется руководителем экспертизы исходя из целей и задач экспертизы и условий ее проведения (срока подготовки заключения, а также полноты представленных материалов и качества их оформления). </w:t>
      </w:r>
    </w:p>
    <w:p w:rsidR="00C418E5" w:rsidRDefault="00C66FDE" w:rsidP="00AB7820">
      <w:pPr>
        <w:numPr>
          <w:ilvl w:val="1"/>
          <w:numId w:val="4"/>
        </w:numPr>
        <w:ind w:left="0" w:right="62" w:firstLine="709"/>
      </w:pPr>
      <w:r>
        <w:t>При проведении экспертизы проекта программы учитывается опыт контроля формирования и использования средств краевого</w:t>
      </w:r>
      <w:r w:rsidR="00407FB2">
        <w:t xml:space="preserve"> и местного бюджетов </w:t>
      </w:r>
      <w:r>
        <w:t xml:space="preserve">в соответствующей сфере деятельности, результаты ранее проведенных контрольных и экспертно-аналитических мероприятий.  </w:t>
      </w:r>
    </w:p>
    <w:p w:rsidR="00C418E5" w:rsidRDefault="00C66FDE" w:rsidP="00AB7820">
      <w:pPr>
        <w:numPr>
          <w:ilvl w:val="1"/>
          <w:numId w:val="4"/>
        </w:numPr>
        <w:ind w:left="0" w:right="62" w:firstLine="709"/>
      </w:pPr>
      <w:r>
        <w:t xml:space="preserve">Экспертиза проектов программ проводится до 14 календарных дней, если иной срок не установлен председателем </w:t>
      </w:r>
      <w:r w:rsidR="00407FB2">
        <w:t>Контрольно-счетной палаты</w:t>
      </w:r>
      <w:r>
        <w:t xml:space="preserve">. </w:t>
      </w:r>
    </w:p>
    <w:p w:rsidR="00C418E5" w:rsidRDefault="00C66FDE" w:rsidP="00AB7820">
      <w:pPr>
        <w:numPr>
          <w:ilvl w:val="1"/>
          <w:numId w:val="4"/>
        </w:numPr>
        <w:ind w:left="0" w:right="62" w:firstLine="709"/>
      </w:pPr>
      <w:r>
        <w:lastRenderedPageBreak/>
        <w:t xml:space="preserve">Экспертиза проекта программы включает в себя </w:t>
      </w:r>
      <w:r>
        <w:rPr>
          <w:b/>
        </w:rPr>
        <w:t>пять основных этапов</w:t>
      </w:r>
      <w:r>
        <w:t xml:space="preserve">: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анализ соответствия целей и задач программы основным направлениям государственной политики Российской Федерации в соответствующей сфере; </w:t>
      </w:r>
    </w:p>
    <w:p w:rsidR="00C418E5" w:rsidRDefault="00C66FDE">
      <w:pPr>
        <w:numPr>
          <w:ilvl w:val="0"/>
          <w:numId w:val="3"/>
        </w:numPr>
        <w:ind w:right="62"/>
      </w:pPr>
      <w:r>
        <w:t>анализ соответствия целей и задач программы приоритетам социально</w:t>
      </w:r>
      <w:r w:rsidR="00DB01F7">
        <w:t>-</w:t>
      </w:r>
      <w:r>
        <w:t xml:space="preserve">экономического </w:t>
      </w:r>
      <w:proofErr w:type="gramStart"/>
      <w:r>
        <w:t xml:space="preserve">развития </w:t>
      </w:r>
      <w:r w:rsidR="00DB01F7">
        <w:t xml:space="preserve"> муниципального</w:t>
      </w:r>
      <w:proofErr w:type="gramEnd"/>
      <w:r w:rsidR="00DB01F7">
        <w:t xml:space="preserve"> образования г. Яровое </w:t>
      </w:r>
      <w:r>
        <w:t xml:space="preserve">Алтайского края в соответствующей сфере;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анализ структуры и содержания программы;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анализ ресурсного обеспечения программы (анализ структуры управления, кадровые и финансовые ресурсы);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выводы и предложения по результатам проведенной экспертизы.  </w:t>
      </w:r>
    </w:p>
    <w:p w:rsidR="00C418E5" w:rsidRDefault="00C66FDE" w:rsidP="00AB7820">
      <w:pPr>
        <w:numPr>
          <w:ilvl w:val="1"/>
          <w:numId w:val="5"/>
        </w:numPr>
        <w:ind w:left="0" w:right="62"/>
      </w:pPr>
      <w:r>
        <w:rPr>
          <w:b/>
        </w:rPr>
        <w:t>Первый этап</w:t>
      </w:r>
      <w:r>
        <w:t xml:space="preserve"> экспертизы включает в себя анализ федеральных законов, иных нормативных правовых актов Российской Федерации, основных приоритетов государственной политики Российской Федерации в соответствующей сфере, в ходе которого формируются выводы о соответствии основных направлений программы приоритетам социально-экономического развития Российской Федерации. </w:t>
      </w:r>
    </w:p>
    <w:p w:rsidR="00C418E5" w:rsidRDefault="00C66FDE" w:rsidP="00AB7820">
      <w:pPr>
        <w:numPr>
          <w:ilvl w:val="1"/>
          <w:numId w:val="5"/>
        </w:numPr>
        <w:ind w:left="0" w:right="62"/>
      </w:pPr>
      <w:r>
        <w:rPr>
          <w:b/>
        </w:rPr>
        <w:t>Второй этап</w:t>
      </w:r>
      <w:r>
        <w:t xml:space="preserve"> экспертизы включает в себя анализ нормативных правовых актов Алтайского края, определяющих основы социально</w:t>
      </w:r>
      <w:r w:rsidR="00AB7820">
        <w:t>-</w:t>
      </w:r>
      <w:r>
        <w:t xml:space="preserve">экономического развития в соответствующей сфере.  </w:t>
      </w:r>
    </w:p>
    <w:p w:rsidR="00C418E5" w:rsidRDefault="00C66FDE">
      <w:pPr>
        <w:ind w:left="-15" w:right="62"/>
      </w:pPr>
      <w:r>
        <w:t xml:space="preserve">В ходе данного анализа формируются выводы о соответствии целей, задач, подпрограмм и отдельных мероприятий программы: </w:t>
      </w:r>
    </w:p>
    <w:p w:rsidR="00C418E5" w:rsidRDefault="00C66FDE" w:rsidP="00F177FE">
      <w:pPr>
        <w:numPr>
          <w:ilvl w:val="0"/>
          <w:numId w:val="3"/>
        </w:numPr>
        <w:spacing w:after="0" w:line="259" w:lineRule="auto"/>
        <w:ind w:left="-15" w:right="62" w:firstLine="0"/>
      </w:pPr>
      <w:r>
        <w:t xml:space="preserve">основным приоритетам социально-экономического </w:t>
      </w:r>
      <w:r w:rsidR="00DB01F7">
        <w:t xml:space="preserve">развития муниципального образования г. Яровое </w:t>
      </w:r>
      <w:r>
        <w:t xml:space="preserve">Алтайского края; </w:t>
      </w:r>
    </w:p>
    <w:p w:rsidR="00C418E5" w:rsidRDefault="00C66FDE" w:rsidP="00AB7820">
      <w:pPr>
        <w:numPr>
          <w:ilvl w:val="0"/>
          <w:numId w:val="3"/>
        </w:numPr>
        <w:ind w:right="62"/>
      </w:pPr>
      <w:r>
        <w:t xml:space="preserve">ориентированности на развитие соответствующей сферы, комплексности решения проблемы краевой значимости, направленности на достижение качественно нового уровня развития. </w:t>
      </w:r>
    </w:p>
    <w:p w:rsidR="00C418E5" w:rsidRDefault="00C66FDE" w:rsidP="00AB7820">
      <w:pPr>
        <w:spacing w:after="0" w:line="246" w:lineRule="auto"/>
        <w:ind w:left="0" w:firstLine="624"/>
      </w:pPr>
      <w:r>
        <w:t>2.10.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Третий этап</w:t>
      </w:r>
      <w:r>
        <w:t xml:space="preserve"> экспертизы заключается в анализе логически выстроенной структуры программы, подпрограмм и отдельных мероприятий, целевых показателей </w:t>
      </w:r>
      <w:r>
        <w:tab/>
        <w:t xml:space="preserve">и </w:t>
      </w:r>
      <w:r>
        <w:tab/>
        <w:t>показателе</w:t>
      </w:r>
      <w:r w:rsidR="00DB01F7">
        <w:t xml:space="preserve">й </w:t>
      </w:r>
      <w:r w:rsidR="00DB01F7">
        <w:tab/>
        <w:t xml:space="preserve">результативности, </w:t>
      </w:r>
      <w:r w:rsidR="00DB01F7">
        <w:tab/>
        <w:t xml:space="preserve">текущего </w:t>
      </w:r>
      <w:r>
        <w:t>состояния соответствующей сферы, прогноза конечных результатов, социальных, финансово</w:t>
      </w:r>
      <w:r w:rsidR="00AB7820">
        <w:t>-</w:t>
      </w:r>
      <w:r>
        <w:t xml:space="preserve">экономических и прочих рисков реализации программы, механизма реализации отдельных мероприятий программы. </w:t>
      </w:r>
    </w:p>
    <w:p w:rsidR="00C418E5" w:rsidRDefault="00C66FDE" w:rsidP="00AB7820">
      <w:pPr>
        <w:ind w:left="-15" w:right="62"/>
      </w:pPr>
      <w:r>
        <w:t xml:space="preserve">На данном этапе анализируется соответствие структуры программы требованиям, предусмотренным </w:t>
      </w:r>
      <w:r w:rsidR="006D1448" w:rsidRPr="006D1448">
        <w:rPr>
          <w:rFonts w:eastAsia="Calibri"/>
          <w:color w:val="auto"/>
          <w:szCs w:val="28"/>
          <w:lang w:eastAsia="en-US"/>
        </w:rPr>
        <w:t>с Постановлением администрации города Яровое от 17.05.2019    № 390 «Об утверждении порядка разработки, реализации и оценки эффективности муниципальных программ муниципального образования город Яровое Алтайского края»</w:t>
      </w:r>
      <w:r>
        <w:t xml:space="preserve">, а также соответствие названий разделов их смысловому наполнению, полнота раскрытия тематики. </w:t>
      </w:r>
    </w:p>
    <w:p w:rsidR="00C418E5" w:rsidRDefault="00C66FDE">
      <w:pPr>
        <w:ind w:left="-15" w:right="62"/>
      </w:pPr>
      <w:r>
        <w:t xml:space="preserve">В ходе анализа подпрограмм и отдельных мероприятий программы, мер государственного регулирования, реализуемых органами исполнительной власти </w:t>
      </w:r>
      <w:r w:rsidR="00DB01F7">
        <w:t xml:space="preserve">муниципального образования г. Яровое </w:t>
      </w:r>
      <w:r>
        <w:t xml:space="preserve">Алтайского края, проводится оценка соответствия их полномочиям, предусмотренным федеральными </w:t>
      </w:r>
      <w:r>
        <w:lastRenderedPageBreak/>
        <w:t xml:space="preserve">законами, иными нормативными правовыми актами Российской Федерации, Уставом (Основным Законом) Алтайского края, законами Алтайского края, правовыми актами Губернатора Алтайского края; оценивается взаимосвязанность целей и задач подпрограмм с целями и задачами программы. </w:t>
      </w:r>
    </w:p>
    <w:p w:rsidR="00C418E5" w:rsidRDefault="00C66FDE">
      <w:pPr>
        <w:ind w:left="624" w:right="62" w:firstLine="0"/>
      </w:pPr>
      <w:r>
        <w:t xml:space="preserve">В ходе данного анализа могут формироваться выводы о: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достаточности раскрытия в программе информации о содержании ее подпрограмм, мероприятий, составе </w:t>
      </w:r>
      <w:r w:rsidR="00DB01F7">
        <w:t>муниципальных</w:t>
      </w:r>
      <w:r>
        <w:t xml:space="preserve"> услуг, работ и функций;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полноте включения в программу и взаимной согласованности подпрограмм и отдельных мероприятий, относящихся к сфере ее реализации; 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соответствии подпрограмм и отдельных мероприятий программы ее задачам, их достаточности для достижения целей и ожидаемых результатов;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возможности и необходимости реализации иных подпрограмм и мероприятий; </w:t>
      </w:r>
    </w:p>
    <w:p w:rsidR="00C418E5" w:rsidRDefault="00C66FDE" w:rsidP="00370263">
      <w:pPr>
        <w:numPr>
          <w:ilvl w:val="0"/>
          <w:numId w:val="3"/>
        </w:numPr>
        <w:ind w:right="62"/>
      </w:pPr>
      <w:r>
        <w:t xml:space="preserve">соответствии подпрограмм и мероприятий программы полномочиям органов </w:t>
      </w:r>
      <w:r w:rsidR="00A37122" w:rsidRPr="00A37122">
        <w:t>местной администраци</w:t>
      </w:r>
      <w:r w:rsidR="006932EE">
        <w:t>и</w:t>
      </w:r>
      <w:r w:rsidR="00A37122" w:rsidRPr="00A37122">
        <w:t xml:space="preserve"> муниципального образования</w:t>
      </w:r>
      <w:r w:rsidR="00A37122">
        <w:t xml:space="preserve"> </w:t>
      </w:r>
      <w:r>
        <w:t xml:space="preserve">согласно действующему законодательству. </w:t>
      </w:r>
    </w:p>
    <w:p w:rsidR="00C418E5" w:rsidRDefault="00C66FDE">
      <w:pPr>
        <w:ind w:left="-15" w:right="62"/>
      </w:pPr>
      <w:r>
        <w:t xml:space="preserve">При осуществлении анализа текущего состояния соответствующей сферы оценивается актуальность проблемы, акцентирование внимания на ключевых моментах, обоснованность решения проблемы программным методом. </w:t>
      </w:r>
    </w:p>
    <w:p w:rsidR="00C418E5" w:rsidRDefault="00C66FDE">
      <w:pPr>
        <w:ind w:left="-15" w:right="62"/>
      </w:pPr>
      <w:r>
        <w:t xml:space="preserve">В ходе анализа целевых показателей и показателей результативности программы могут формироваться выводы о: </w:t>
      </w:r>
    </w:p>
    <w:p w:rsidR="00C418E5" w:rsidRDefault="00C66FDE">
      <w:pPr>
        <w:numPr>
          <w:ilvl w:val="0"/>
          <w:numId w:val="3"/>
        </w:numPr>
        <w:ind w:right="62"/>
      </w:pPr>
      <w:r>
        <w:t>их соответствии (непосредствен</w:t>
      </w:r>
      <w:bookmarkStart w:id="2" w:name="_GoBack"/>
      <w:bookmarkEnd w:id="2"/>
      <w:r>
        <w:t xml:space="preserve">ной зависимости) задачам программы, достаточности для раскрытия степени достижения целей программы; 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характере динамики, возможности (реалистичности) достижения; 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сопоставимости с показателями результативности государственных программ Российской Федерации. </w:t>
      </w:r>
    </w:p>
    <w:p w:rsidR="00C418E5" w:rsidRDefault="00C66FDE">
      <w:pPr>
        <w:ind w:left="-15" w:right="62"/>
      </w:pPr>
      <w:r>
        <w:t xml:space="preserve">В ходе анализа механизма реализации, мер (инструментов) </w:t>
      </w:r>
      <w:r w:rsidR="00A37122">
        <w:t>муниципального</w:t>
      </w:r>
      <w:r>
        <w:t xml:space="preserve"> регулирования, сроков их реализации, ожидаемых результатов и состава участников реализации программы могут формироваться выводы о: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полноте и обоснованности включения в программу фактически имеющихся и планируемых мер </w:t>
      </w:r>
      <w:r w:rsidR="00A37122">
        <w:t>муниципального</w:t>
      </w:r>
      <w:r>
        <w:t xml:space="preserve"> регулирования и участников реализации;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степени раскрытия в механизме реализации программы способов достижения ее целей и ожидаемых результатов; факторов (в том числе </w:t>
      </w:r>
      <w:proofErr w:type="spellStart"/>
      <w:r>
        <w:t>коррупциогенных</w:t>
      </w:r>
      <w:proofErr w:type="spellEnd"/>
      <w:r>
        <w:t xml:space="preserve">) и рисков, препятствующих их достижению;  </w:t>
      </w:r>
    </w:p>
    <w:p w:rsidR="00C418E5" w:rsidRDefault="00C66FDE" w:rsidP="00CA1FC8">
      <w:pPr>
        <w:numPr>
          <w:ilvl w:val="0"/>
          <w:numId w:val="3"/>
        </w:numPr>
        <w:ind w:left="-15" w:right="62" w:firstLine="0"/>
      </w:pPr>
      <w:r>
        <w:t xml:space="preserve">возможности и необходимости использования иных мер </w:t>
      </w:r>
      <w:r w:rsidR="00A37122">
        <w:t xml:space="preserve">муниципального </w:t>
      </w:r>
      <w:r>
        <w:t xml:space="preserve">регулирования, учета и предотвращения иных рисков, привлечения к реализации программы иных участников;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реалистичности сроков реализации программы. </w:t>
      </w:r>
    </w:p>
    <w:p w:rsidR="00C418E5" w:rsidRDefault="00C66FDE">
      <w:pPr>
        <w:ind w:left="-15" w:right="62"/>
      </w:pPr>
      <w:r>
        <w:t>2.11.</w:t>
      </w:r>
      <w:r>
        <w:rPr>
          <w:rFonts w:ascii="Arial" w:eastAsia="Arial" w:hAnsi="Arial" w:cs="Arial"/>
        </w:rPr>
        <w:t xml:space="preserve"> </w:t>
      </w:r>
      <w:r>
        <w:rPr>
          <w:b/>
        </w:rPr>
        <w:t xml:space="preserve"> Четвертый этап</w:t>
      </w:r>
      <w:r>
        <w:t xml:space="preserve"> экспертизы заключается в анализе ресурсного обеспечения (анализ структуры управления, кадровые и финансовые ресурсы), расходов на реализацию целей программы с учетом источников финансирования, информации о распределении планируемых расходов по </w:t>
      </w:r>
      <w:r>
        <w:lastRenderedPageBreak/>
        <w:t xml:space="preserve">подпрограммам и отдельным мероприятиям программы, а также системы управления в соответствующей сфере. </w:t>
      </w:r>
    </w:p>
    <w:p w:rsidR="00C418E5" w:rsidRDefault="00C66FDE">
      <w:pPr>
        <w:ind w:left="-15" w:right="62"/>
      </w:pPr>
      <w:r>
        <w:t xml:space="preserve">При анализе ресурсного обеспечения программы учитываются объемы ресурсного обеспечения реализуемых (реализованных ранее) целевых </w:t>
      </w:r>
      <w:r w:rsidR="004A24D8">
        <w:t xml:space="preserve">программ муниципального образования г. Яровое </w:t>
      </w:r>
      <w:r>
        <w:t xml:space="preserve">Алтайского края в установленных сферах деятельности. </w:t>
      </w:r>
    </w:p>
    <w:p w:rsidR="00C418E5" w:rsidRDefault="00C66FDE">
      <w:pPr>
        <w:spacing w:after="0" w:line="259" w:lineRule="auto"/>
        <w:ind w:left="10" w:right="173" w:hanging="10"/>
        <w:jc w:val="center"/>
      </w:pPr>
      <w:r>
        <w:t xml:space="preserve">В ходе анализа ресурсного обеспечения могут формироваться выводы о: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соответствии действующей структуры управления программой поставленным целям и задачам; 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наличии в программе принимаемых (новых) расходных обязательств;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возможности получения средств из запланированных источников в запрашиваемых объемах;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полноте и обоснованности условий предоставления и методики расчета межбюджетных субсидий; 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недостаточности или избыточности ресурсов (кадровых, финансовых) для выполнения необходимых мероприятий;  </w:t>
      </w:r>
    </w:p>
    <w:p w:rsidR="00C418E5" w:rsidRDefault="00C66FDE">
      <w:pPr>
        <w:numPr>
          <w:ilvl w:val="0"/>
          <w:numId w:val="3"/>
        </w:numPr>
        <w:ind w:right="62"/>
      </w:pPr>
      <w:r>
        <w:t xml:space="preserve">наличии и необходимости иных источников и способов получения ресурсов, направлений и способов их использования. </w:t>
      </w:r>
    </w:p>
    <w:p w:rsidR="00C418E5" w:rsidRDefault="00C66FDE" w:rsidP="00AB7820">
      <w:pPr>
        <w:numPr>
          <w:ilvl w:val="1"/>
          <w:numId w:val="6"/>
        </w:numPr>
        <w:ind w:left="0" w:right="62"/>
      </w:pPr>
      <w:r>
        <w:rPr>
          <w:b/>
        </w:rPr>
        <w:t>Пятый этап</w:t>
      </w:r>
      <w:r>
        <w:t xml:space="preserve"> экспертизы заключается в обобщении выводов и предложений, сформулированных в процессе проведения предыдущих этапов экспертизы проекта Госпрограммы. </w:t>
      </w:r>
    </w:p>
    <w:p w:rsidR="00C418E5" w:rsidRDefault="00C66FDE" w:rsidP="00AB7820">
      <w:pPr>
        <w:numPr>
          <w:ilvl w:val="1"/>
          <w:numId w:val="6"/>
        </w:numPr>
        <w:ind w:left="0" w:right="62"/>
      </w:pPr>
      <w:r>
        <w:t xml:space="preserve">В случае наличия в проекте программы недостатков и недочетов они отмечаются в </w:t>
      </w:r>
      <w:r w:rsidR="004A24D8">
        <w:t>заключении Контрольно-с</w:t>
      </w:r>
      <w:r>
        <w:t xml:space="preserve">четной палаты с изложением их сути. При описании недостатков и недочетов могут быть предложены варианты их устранения. </w:t>
      </w:r>
    </w:p>
    <w:p w:rsidR="00C418E5" w:rsidRDefault="00C66FDE">
      <w:pPr>
        <w:spacing w:after="0" w:line="259" w:lineRule="auto"/>
        <w:ind w:left="624" w:firstLine="0"/>
        <w:jc w:val="left"/>
      </w:pPr>
      <w:r>
        <w:t xml:space="preserve"> </w:t>
      </w:r>
    </w:p>
    <w:p w:rsidR="00C418E5" w:rsidRDefault="00C66FDE">
      <w:pPr>
        <w:pStyle w:val="1"/>
        <w:ind w:left="559" w:right="481"/>
      </w:pPr>
      <w:bookmarkStart w:id="3" w:name="_Toc9000"/>
      <w:r>
        <w:t xml:space="preserve">Особенности проведения экспертизы проектов о </w:t>
      </w:r>
      <w:r w:rsidR="00AB7820">
        <w:t>внесении изменений</w:t>
      </w:r>
      <w:r>
        <w:t xml:space="preserve"> в </w:t>
      </w:r>
      <w:r w:rsidR="009D34EC">
        <w:t>муниципальные</w:t>
      </w:r>
      <w:r>
        <w:t xml:space="preserve"> программы </w:t>
      </w:r>
      <w:bookmarkEnd w:id="3"/>
    </w:p>
    <w:p w:rsidR="00C418E5" w:rsidRDefault="00C66FDE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:rsidR="00C418E5" w:rsidRDefault="00C66FDE">
      <w:pPr>
        <w:ind w:left="-15" w:right="62"/>
      </w:pPr>
      <w:r>
        <w:t>3.1.</w:t>
      </w:r>
      <w:r>
        <w:rPr>
          <w:rFonts w:ascii="Arial" w:eastAsia="Arial" w:hAnsi="Arial" w:cs="Arial"/>
        </w:rPr>
        <w:t xml:space="preserve"> </w:t>
      </w:r>
      <w:r>
        <w:t xml:space="preserve">Экспертиза проекта о внесении изменений в программу осуществляется в порядке, предусмотренном пунктами 2.1-2.6, 2.12-2.13 раздела 2 настоящего стандарта и включает в себя пять основных этапов: </w:t>
      </w:r>
    </w:p>
    <w:p w:rsidR="00C418E5" w:rsidRDefault="00C66FDE">
      <w:pPr>
        <w:numPr>
          <w:ilvl w:val="0"/>
          <w:numId w:val="7"/>
        </w:numPr>
        <w:ind w:right="62"/>
      </w:pPr>
      <w:r>
        <w:t>анализ соответствия целей и задач программы основным направлениям государственной политики Российской Федерации и приоритетам социально</w:t>
      </w:r>
      <w:r w:rsidR="009D34EC">
        <w:t>-</w:t>
      </w:r>
      <w:r>
        <w:t>экономического развития</w:t>
      </w:r>
      <w:r w:rsidR="009D34EC">
        <w:t xml:space="preserve"> муниципального образования г. Яровое</w:t>
      </w:r>
      <w:r>
        <w:t xml:space="preserve"> Алтайского края в соответствующей сфере; </w:t>
      </w:r>
    </w:p>
    <w:p w:rsidR="00C418E5" w:rsidRDefault="00C66FDE">
      <w:pPr>
        <w:numPr>
          <w:ilvl w:val="0"/>
          <w:numId w:val="7"/>
        </w:numPr>
        <w:ind w:right="62"/>
      </w:pPr>
      <w:r>
        <w:t xml:space="preserve">анализ финансирования программы (в том числе – на предмет соответствия </w:t>
      </w:r>
      <w:r w:rsidR="0055426A">
        <w:t>решения о</w:t>
      </w:r>
      <w:r>
        <w:t xml:space="preserve"> </w:t>
      </w:r>
      <w:r w:rsidR="0055426A">
        <w:t>городском</w:t>
      </w:r>
      <w:r>
        <w:t xml:space="preserve"> бюджете); </w:t>
      </w:r>
    </w:p>
    <w:p w:rsidR="00C418E5" w:rsidRDefault="00C66FDE">
      <w:pPr>
        <w:numPr>
          <w:ilvl w:val="0"/>
          <w:numId w:val="7"/>
        </w:numPr>
        <w:ind w:right="62"/>
      </w:pPr>
      <w:r>
        <w:t xml:space="preserve">анализ изменения структуры и содержания программы (данный раздел содержит описание каждого из структурных элементов программы, в которые вносятся изменения, включая анализ вносимых изменений (сравнение с предыдущей редакцией, причины (основания) изменений, оценка их согласованности с основными параметрами других документов и т.д.); </w:t>
      </w:r>
    </w:p>
    <w:p w:rsidR="00C418E5" w:rsidRDefault="00C66FDE">
      <w:pPr>
        <w:numPr>
          <w:ilvl w:val="0"/>
          <w:numId w:val="7"/>
        </w:numPr>
        <w:ind w:right="62"/>
      </w:pPr>
      <w:r>
        <w:lastRenderedPageBreak/>
        <w:t xml:space="preserve">изложение замечаний и недостатков, выявленных в ходе проведения экспертизы; </w:t>
      </w:r>
    </w:p>
    <w:p w:rsidR="00C418E5" w:rsidRDefault="00C66FDE">
      <w:pPr>
        <w:numPr>
          <w:ilvl w:val="0"/>
          <w:numId w:val="7"/>
        </w:numPr>
        <w:ind w:right="62"/>
      </w:pPr>
      <w:r>
        <w:t xml:space="preserve">анализ устранения замечаний, выявленных </w:t>
      </w:r>
      <w:r w:rsidR="00775242">
        <w:t>Контрольно-с</w:t>
      </w:r>
      <w:r>
        <w:t xml:space="preserve">четной палатой в ходе предыдущих экспертиз программы. </w:t>
      </w:r>
    </w:p>
    <w:p w:rsidR="00C418E5" w:rsidRDefault="00C66FDE">
      <w:pPr>
        <w:spacing w:after="0" w:line="259" w:lineRule="auto"/>
        <w:ind w:left="624" w:firstLine="0"/>
        <w:jc w:val="left"/>
      </w:pPr>
      <w:r>
        <w:rPr>
          <w:b/>
        </w:rPr>
        <w:t xml:space="preserve"> </w:t>
      </w:r>
    </w:p>
    <w:p w:rsidR="00C418E5" w:rsidRDefault="00C66FDE">
      <w:pPr>
        <w:pStyle w:val="1"/>
        <w:ind w:left="832" w:right="622" w:hanging="283"/>
      </w:pPr>
      <w:bookmarkStart w:id="4" w:name="_Toc9001"/>
      <w:r>
        <w:t xml:space="preserve">Требования к оформлению результатов экспертизы </w:t>
      </w:r>
      <w:bookmarkEnd w:id="4"/>
    </w:p>
    <w:p w:rsidR="00C418E5" w:rsidRDefault="00C66FDE">
      <w:pPr>
        <w:spacing w:after="270" w:line="259" w:lineRule="auto"/>
        <w:ind w:left="0" w:firstLine="0"/>
        <w:jc w:val="left"/>
      </w:pPr>
      <w:r>
        <w:rPr>
          <w:rFonts w:ascii="Calibri" w:eastAsia="Calibri" w:hAnsi="Calibri" w:cs="Calibri"/>
          <w:sz w:val="22"/>
        </w:rPr>
        <w:t xml:space="preserve"> </w:t>
      </w:r>
    </w:p>
    <w:p w:rsidR="00C418E5" w:rsidRDefault="00C66FDE">
      <w:pPr>
        <w:ind w:left="-15" w:right="62"/>
      </w:pPr>
      <w:r>
        <w:t>4.1.</w:t>
      </w:r>
      <w:r>
        <w:rPr>
          <w:rFonts w:ascii="Arial" w:eastAsia="Arial" w:hAnsi="Arial" w:cs="Arial"/>
        </w:rPr>
        <w:t xml:space="preserve"> </w:t>
      </w:r>
      <w:r>
        <w:t xml:space="preserve">По результатам проведения экспертизы составляется заключение </w:t>
      </w:r>
      <w:r w:rsidR="000D708F">
        <w:t>Контрольно-с</w:t>
      </w:r>
      <w:r>
        <w:t xml:space="preserve">четной палаты на проект программы (далее – заключение), которое состоит из вводной, содержательной частей и выводов. </w:t>
      </w:r>
    </w:p>
    <w:p w:rsidR="00C418E5" w:rsidRDefault="00C66FDE">
      <w:pPr>
        <w:ind w:left="-15" w:right="62"/>
      </w:pPr>
      <w:r>
        <w:t>4.2.</w:t>
      </w:r>
      <w:r>
        <w:rPr>
          <w:rFonts w:ascii="Arial" w:eastAsia="Arial" w:hAnsi="Arial" w:cs="Arial"/>
        </w:rPr>
        <w:t xml:space="preserve"> </w:t>
      </w:r>
      <w:r>
        <w:t xml:space="preserve">В вводной части заключения указываются реквизиты нормативных правовых актов и документов, по результатам рассмотрения, на основании и с учетом которых проведена экспертиза, а также могут указываться привлеченные эксперты, чьи материалы были учтены при подготовке заключения. </w:t>
      </w:r>
    </w:p>
    <w:p w:rsidR="00C418E5" w:rsidRDefault="00C66FDE">
      <w:pPr>
        <w:ind w:left="-15" w:right="62"/>
      </w:pPr>
      <w:r>
        <w:t>4.3.</w:t>
      </w:r>
      <w:r>
        <w:rPr>
          <w:rFonts w:ascii="Arial" w:eastAsia="Arial" w:hAnsi="Arial" w:cs="Arial"/>
        </w:rPr>
        <w:t xml:space="preserve"> </w:t>
      </w:r>
      <w:r>
        <w:t xml:space="preserve">Содержательная часть заключения состоит из разделов, наименования которых соответствуют основным этапам экспертизы (п. 2.10 либо п.3.1).  </w:t>
      </w:r>
    </w:p>
    <w:p w:rsidR="00C418E5" w:rsidRDefault="00C66FDE">
      <w:pPr>
        <w:ind w:left="-15" w:right="62"/>
      </w:pPr>
      <w:r>
        <w:t>4.4.</w:t>
      </w:r>
      <w:r>
        <w:rPr>
          <w:rFonts w:ascii="Arial" w:eastAsia="Arial" w:hAnsi="Arial" w:cs="Arial"/>
        </w:rPr>
        <w:t xml:space="preserve"> </w:t>
      </w:r>
      <w:r>
        <w:t xml:space="preserve">При обнаружении в ходе проведения экспертизы проекта программы </w:t>
      </w:r>
      <w:proofErr w:type="spellStart"/>
      <w:r>
        <w:t>коррупциогенных</w:t>
      </w:r>
      <w:proofErr w:type="spellEnd"/>
      <w:r>
        <w:t xml:space="preserve"> факторов в заключении </w:t>
      </w:r>
      <w:r w:rsidR="000D708F">
        <w:t>Контрольно-с</w:t>
      </w:r>
      <w:r>
        <w:t xml:space="preserve">четной палаты на проект программы должно быть сделано соответствующее указание. </w:t>
      </w:r>
    </w:p>
    <w:p w:rsidR="00C418E5" w:rsidRDefault="00C66FDE">
      <w:pPr>
        <w:ind w:left="-15" w:right="62"/>
      </w:pPr>
      <w:r>
        <w:t>4.5.</w:t>
      </w:r>
      <w:r>
        <w:rPr>
          <w:rFonts w:ascii="Arial" w:eastAsia="Arial" w:hAnsi="Arial" w:cs="Arial"/>
        </w:rPr>
        <w:t xml:space="preserve"> </w:t>
      </w:r>
      <w:r>
        <w:t xml:space="preserve">Все суждения и оценки, отраженные в заключении, должны подтверждаться ссылками на исследованные положения проекта программы, а также ссылками на нормы законов и иных нормативных правовых актов (в случае выявления нарушения их положений). </w:t>
      </w:r>
    </w:p>
    <w:p w:rsidR="00C418E5" w:rsidRDefault="00C66FDE">
      <w:pPr>
        <w:ind w:left="-15" w:right="62"/>
      </w:pPr>
      <w:r>
        <w:t>4.6.</w:t>
      </w:r>
      <w:r>
        <w:rPr>
          <w:rFonts w:ascii="Arial" w:eastAsia="Arial" w:hAnsi="Arial" w:cs="Arial"/>
        </w:rPr>
        <w:t xml:space="preserve"> </w:t>
      </w:r>
      <w:r>
        <w:t xml:space="preserve">Заключение </w:t>
      </w:r>
      <w:r w:rsidR="000D708F">
        <w:t>Контрольно-с</w:t>
      </w:r>
      <w:r>
        <w:t xml:space="preserve">четной палаты, завизированное руководителем экспертизы, подписывается председателем </w:t>
      </w:r>
      <w:r w:rsidR="000D708F">
        <w:t>Контрольно-с</w:t>
      </w:r>
      <w:r>
        <w:t xml:space="preserve">четной палаты и направляется в орган </w:t>
      </w:r>
      <w:r w:rsidR="000D708F" w:rsidRPr="000D708F">
        <w:t>муниципального образования</w:t>
      </w:r>
      <w:r>
        <w:t xml:space="preserve">, представивший проект программы на экспертизу в </w:t>
      </w:r>
      <w:r w:rsidR="000D708F">
        <w:t>Контрольно-с</w:t>
      </w:r>
      <w:r>
        <w:t xml:space="preserve">четную палату, и (или) Администрацию Алтайского края. </w:t>
      </w:r>
    </w:p>
    <w:sectPr w:rsidR="00C418E5" w:rsidSect="00AB7820">
      <w:headerReference w:type="even" r:id="rId7"/>
      <w:headerReference w:type="default" r:id="rId8"/>
      <w:headerReference w:type="first" r:id="rId9"/>
      <w:pgSz w:w="11900" w:h="16840"/>
      <w:pgMar w:top="1134" w:right="56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718E" w:rsidRDefault="009F718E">
      <w:pPr>
        <w:spacing w:after="0" w:line="240" w:lineRule="auto"/>
      </w:pPr>
      <w:r>
        <w:separator/>
      </w:r>
    </w:p>
  </w:endnote>
  <w:endnote w:type="continuationSeparator" w:id="0">
    <w:p w:rsidR="009F718E" w:rsidRDefault="009F7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718E" w:rsidRDefault="009F718E">
      <w:pPr>
        <w:spacing w:after="0" w:line="240" w:lineRule="auto"/>
      </w:pPr>
      <w:r>
        <w:separator/>
      </w:r>
    </w:p>
  </w:footnote>
  <w:footnote w:type="continuationSeparator" w:id="0">
    <w:p w:rsidR="009F718E" w:rsidRDefault="009F7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E5" w:rsidRDefault="00C66FDE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2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E5" w:rsidRDefault="00C66FDE">
    <w:pPr>
      <w:spacing w:after="0" w:line="259" w:lineRule="auto"/>
      <w:ind w:left="0" w:right="70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932EE" w:rsidRPr="006932EE">
      <w:rPr>
        <w:noProof/>
        <w:sz w:val="20"/>
      </w:rPr>
      <w:t>8</w:t>
    </w:r>
    <w:r>
      <w:rPr>
        <w:sz w:val="20"/>
      </w:rPr>
      <w:fldChar w:fldCharType="end"/>
    </w:r>
    <w:r>
      <w:rPr>
        <w:sz w:val="2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18E5" w:rsidRDefault="00C418E5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056E2"/>
    <w:multiLevelType w:val="multilevel"/>
    <w:tmpl w:val="B38A5974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14F0A93"/>
    <w:multiLevelType w:val="hybridMultilevel"/>
    <w:tmpl w:val="97089CA4"/>
    <w:lvl w:ilvl="0" w:tplc="D710FA7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48A2DFA2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E947E64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5AA03E34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798F51A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D825A58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2A735A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600A04C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9E60150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00F61BE"/>
    <w:multiLevelType w:val="multilevel"/>
    <w:tmpl w:val="F0BABC6C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8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7306496"/>
    <w:multiLevelType w:val="hybridMultilevel"/>
    <w:tmpl w:val="4BF67C3C"/>
    <w:lvl w:ilvl="0" w:tplc="7F16102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CBE5EEA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4F43EEC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59C8302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7FE341E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998A5A6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408D226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D6A1178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2988856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41494F93"/>
    <w:multiLevelType w:val="hybridMultilevel"/>
    <w:tmpl w:val="F774D5DA"/>
    <w:lvl w:ilvl="0" w:tplc="AB98507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5EE74D6">
      <w:start w:val="1"/>
      <w:numFmt w:val="bullet"/>
      <w:lvlText w:val="o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36BDA0">
      <w:start w:val="1"/>
      <w:numFmt w:val="bullet"/>
      <w:lvlText w:val="▪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64677DE">
      <w:start w:val="1"/>
      <w:numFmt w:val="bullet"/>
      <w:lvlText w:val="•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7461EA4">
      <w:start w:val="1"/>
      <w:numFmt w:val="bullet"/>
      <w:lvlText w:val="o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804CA34">
      <w:start w:val="1"/>
      <w:numFmt w:val="bullet"/>
      <w:lvlText w:val="▪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E8EF466">
      <w:start w:val="1"/>
      <w:numFmt w:val="bullet"/>
      <w:lvlText w:val="•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44556">
      <w:start w:val="1"/>
      <w:numFmt w:val="bullet"/>
      <w:lvlText w:val="o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1943CB2">
      <w:start w:val="1"/>
      <w:numFmt w:val="bullet"/>
      <w:lvlText w:val="▪"/>
      <w:lvlJc w:val="left"/>
      <w:pPr>
        <w:ind w:left="67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66D5E05"/>
    <w:multiLevelType w:val="hybridMultilevel"/>
    <w:tmpl w:val="4E941C5A"/>
    <w:lvl w:ilvl="0" w:tplc="05BA0A5A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BCC5248">
      <w:start w:val="1"/>
      <w:numFmt w:val="lowerLetter"/>
      <w:lvlText w:val="%2"/>
      <w:lvlJc w:val="left"/>
      <w:pPr>
        <w:ind w:left="3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92647F0">
      <w:start w:val="1"/>
      <w:numFmt w:val="lowerRoman"/>
      <w:lvlText w:val="%3"/>
      <w:lvlJc w:val="left"/>
      <w:pPr>
        <w:ind w:left="4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DEE8238">
      <w:start w:val="1"/>
      <w:numFmt w:val="decimal"/>
      <w:lvlText w:val="%4"/>
      <w:lvlJc w:val="left"/>
      <w:pPr>
        <w:ind w:left="4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AFCB9DC">
      <w:start w:val="1"/>
      <w:numFmt w:val="lowerLetter"/>
      <w:lvlText w:val="%5"/>
      <w:lvlJc w:val="left"/>
      <w:pPr>
        <w:ind w:left="5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05C11EC">
      <w:start w:val="1"/>
      <w:numFmt w:val="lowerRoman"/>
      <w:lvlText w:val="%6"/>
      <w:lvlJc w:val="left"/>
      <w:pPr>
        <w:ind w:left="6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0EAF914">
      <w:start w:val="1"/>
      <w:numFmt w:val="decimal"/>
      <w:lvlText w:val="%7"/>
      <w:lvlJc w:val="left"/>
      <w:pPr>
        <w:ind w:left="6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D544DD6">
      <w:start w:val="1"/>
      <w:numFmt w:val="lowerLetter"/>
      <w:lvlText w:val="%8"/>
      <w:lvlJc w:val="left"/>
      <w:pPr>
        <w:ind w:left="77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B9CD2CA">
      <w:start w:val="1"/>
      <w:numFmt w:val="lowerRoman"/>
      <w:lvlText w:val="%9"/>
      <w:lvlJc w:val="left"/>
      <w:pPr>
        <w:ind w:left="84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62314E3A"/>
    <w:multiLevelType w:val="multilevel"/>
    <w:tmpl w:val="7B4804F4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42344C3"/>
    <w:multiLevelType w:val="multilevel"/>
    <w:tmpl w:val="43FA1EAE"/>
    <w:lvl w:ilvl="0">
      <w:start w:val="2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6"/>
  </w:num>
  <w:num w:numId="3">
    <w:abstractNumId w:val="3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8E5"/>
    <w:rsid w:val="000D708F"/>
    <w:rsid w:val="00133B25"/>
    <w:rsid w:val="00183B13"/>
    <w:rsid w:val="00407FB2"/>
    <w:rsid w:val="004A24D8"/>
    <w:rsid w:val="0055426A"/>
    <w:rsid w:val="005A7C68"/>
    <w:rsid w:val="0060385B"/>
    <w:rsid w:val="00630038"/>
    <w:rsid w:val="006932EE"/>
    <w:rsid w:val="006D1448"/>
    <w:rsid w:val="00775242"/>
    <w:rsid w:val="008B285B"/>
    <w:rsid w:val="009C459B"/>
    <w:rsid w:val="009D34EC"/>
    <w:rsid w:val="009F718E"/>
    <w:rsid w:val="00A30C59"/>
    <w:rsid w:val="00A37122"/>
    <w:rsid w:val="00AB7820"/>
    <w:rsid w:val="00B217C7"/>
    <w:rsid w:val="00C418E5"/>
    <w:rsid w:val="00C66FDE"/>
    <w:rsid w:val="00CA78A1"/>
    <w:rsid w:val="00DB01F7"/>
    <w:rsid w:val="00E12FF3"/>
    <w:rsid w:val="00FF2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EFDA90"/>
  <w15:docId w15:val="{5337CF55-A2DD-446C-9E1C-8BB8D4047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9" w:lineRule="auto"/>
      <w:ind w:left="2131" w:firstLine="614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8"/>
      </w:numPr>
      <w:spacing w:after="12" w:line="249" w:lineRule="auto"/>
      <w:ind w:left="2218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2" w:line="249" w:lineRule="auto"/>
      <w:ind w:left="2218" w:hanging="10"/>
      <w:jc w:val="center"/>
      <w:outlineLvl w:val="1"/>
    </w:pPr>
    <w:rPr>
      <w:rFonts w:ascii="Times New Roman" w:eastAsia="Times New Roman" w:hAnsi="Times New Roman" w:cs="Times New Roman"/>
      <w:b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Pr>
      <w:rFonts w:ascii="Times New Roman" w:eastAsia="Times New Roman" w:hAnsi="Times New Roman" w:cs="Times New Roman"/>
      <w:b/>
      <w:color w:val="000000"/>
      <w:sz w:val="28"/>
    </w:rPr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28"/>
    </w:rPr>
  </w:style>
  <w:style w:type="paragraph" w:styleId="11">
    <w:name w:val="toc 1"/>
    <w:hidden/>
    <w:pPr>
      <w:spacing w:after="225" w:line="249" w:lineRule="auto"/>
      <w:ind w:left="15" w:right="8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5A7C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A7C68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8</Pages>
  <Words>2206</Words>
  <Characters>12576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Безбанова Валентина Анатольевна</dc:creator>
  <cp:keywords/>
  <cp:lastModifiedBy>Безбанова Валентина Анатольевна</cp:lastModifiedBy>
  <cp:revision>24</cp:revision>
  <cp:lastPrinted>2023-02-08T07:31:00Z</cp:lastPrinted>
  <dcterms:created xsi:type="dcterms:W3CDTF">2023-02-08T06:25:00Z</dcterms:created>
  <dcterms:modified xsi:type="dcterms:W3CDTF">2023-02-08T07:47:00Z</dcterms:modified>
</cp:coreProperties>
</file>